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47B564B" w14:textId="264E57CF" w:rsidR="00387AA1" w:rsidRPr="001A2A5B" w:rsidRDefault="00387AA1" w:rsidP="0045289E">
      <w:pPr>
        <w:pStyle w:val="Title"/>
        <w:jc w:val="center"/>
        <w:rPr>
          <w:b/>
        </w:rPr>
      </w:pPr>
      <w:r w:rsidRPr="00F47703">
        <w:rPr>
          <w:rStyle w:val="TitleChar"/>
          <w:b/>
          <w:color w:val="244061" w:themeColor="accent1" w:themeShade="80"/>
        </w:rPr>
        <w:t>Pennsylvania State Literacy Plan Needs Assessment</w:t>
      </w:r>
    </w:p>
    <w:p w14:paraId="7BBF0057" w14:textId="0AAA1E51" w:rsidR="00B501FB" w:rsidRPr="00581A19" w:rsidRDefault="00B501FB" w:rsidP="0045289E">
      <w:pPr>
        <w:pStyle w:val="Heading1"/>
        <w:rPr>
          <w:b w:val="0"/>
        </w:rPr>
      </w:pPr>
      <w:r w:rsidRPr="008C5093">
        <w:t xml:space="preserve">Procedural Data </w:t>
      </w:r>
      <w:r w:rsidRPr="0045289E">
        <w:t>Literacy</w:t>
      </w:r>
      <w:r w:rsidRPr="008C5093">
        <w:t xml:space="preserve"> Needs Assessment</w:t>
      </w:r>
    </w:p>
    <w:p w14:paraId="697D108D" w14:textId="035ABDAE" w:rsidR="00B501FB" w:rsidRDefault="00B501FB" w:rsidP="0045289E">
      <w:pPr>
        <w:pStyle w:val="Heading2"/>
      </w:pPr>
      <w:r w:rsidRPr="00581A19">
        <w:t xml:space="preserve">II. </w:t>
      </w:r>
      <w:r>
        <w:t>Assessment (Birth-</w:t>
      </w:r>
      <w:r w:rsidRPr="0045289E">
        <w:t>Age</w:t>
      </w:r>
      <w:r>
        <w:t xml:space="preserve"> 5)</w:t>
      </w:r>
    </w:p>
    <w:p w14:paraId="289C2961" w14:textId="479BE430" w:rsidR="0045289E" w:rsidRPr="002A62F5" w:rsidRDefault="0045289E" w:rsidP="0045289E">
      <w:pPr>
        <w:rPr>
          <w:b/>
          <w:bCs/>
          <w:sz w:val="24"/>
          <w:szCs w:val="24"/>
        </w:rPr>
      </w:pPr>
      <w:r w:rsidRPr="002A62F5">
        <w:rPr>
          <w:sz w:val="24"/>
          <w:szCs w:val="24"/>
        </w:rPr>
        <w:t>The LEA has developed capacity to gather and use data.</w:t>
      </w:r>
    </w:p>
    <w:p w14:paraId="4B2B7861" w14:textId="09EC4190" w:rsidR="0045289E" w:rsidRPr="0045289E" w:rsidRDefault="0045289E" w:rsidP="0045289E">
      <w:r w:rsidRPr="002A62F5">
        <w:rPr>
          <w:sz w:val="24"/>
          <w:szCs w:val="24"/>
        </w:rPr>
        <w:t>Assessments are administered in a timely manner and with standardized procedures.</w:t>
      </w:r>
    </w:p>
    <w:tbl>
      <w:tblPr>
        <w:tblStyle w:val="TableGrid"/>
        <w:tblW w:w="14371" w:type="dxa"/>
        <w:tblLook w:val="0460" w:firstRow="1" w:lastRow="1" w:firstColumn="0" w:lastColumn="0" w:noHBand="0" w:noVBand="1"/>
      </w:tblPr>
      <w:tblGrid>
        <w:gridCol w:w="12145"/>
        <w:gridCol w:w="537"/>
        <w:gridCol w:w="563"/>
        <w:gridCol w:w="563"/>
        <w:gridCol w:w="563"/>
      </w:tblGrid>
      <w:tr w:rsidR="00B501FB" w:rsidRPr="00E247BE" w14:paraId="06137DEA" w14:textId="77777777" w:rsidTr="000C13D6">
        <w:trPr>
          <w:trHeight w:val="342"/>
        </w:trPr>
        <w:tc>
          <w:tcPr>
            <w:tcW w:w="12145" w:type="dxa"/>
            <w:vMerge w:val="restart"/>
            <w:vAlign w:val="center"/>
          </w:tcPr>
          <w:p w14:paraId="0D40DE0C" w14:textId="77777777" w:rsidR="00B501FB" w:rsidRPr="000C13D6" w:rsidRDefault="00B501FB" w:rsidP="0045289E">
            <w:pPr>
              <w:jc w:val="center"/>
              <w:rPr>
                <w:b/>
                <w:bCs/>
                <w:sz w:val="24"/>
                <w:szCs w:val="24"/>
              </w:rPr>
            </w:pPr>
            <w:bookmarkStart w:id="0" w:name="_GoBack" w:colFirst="1" w:colLast="1"/>
            <w:r w:rsidRPr="000C13D6">
              <w:rPr>
                <w:b/>
                <w:bCs/>
                <w:sz w:val="24"/>
                <w:szCs w:val="24"/>
              </w:rPr>
              <w:t>Strategies and Actions Recommended to Support Implementation of the LEA Framework</w:t>
            </w:r>
          </w:p>
        </w:tc>
        <w:tc>
          <w:tcPr>
            <w:tcW w:w="2226" w:type="dxa"/>
            <w:gridSpan w:val="4"/>
            <w:shd w:val="clear" w:color="auto" w:fill="FFC0CB"/>
            <w:vAlign w:val="center"/>
          </w:tcPr>
          <w:p w14:paraId="0C9332E0" w14:textId="77777777" w:rsidR="00B501FB" w:rsidRPr="000C13D6" w:rsidRDefault="00B501FB" w:rsidP="0045289E">
            <w:pPr>
              <w:jc w:val="center"/>
              <w:rPr>
                <w:b/>
                <w:bCs/>
                <w:sz w:val="26"/>
                <w:szCs w:val="26"/>
              </w:rPr>
            </w:pPr>
            <w:r w:rsidRPr="000C13D6">
              <w:rPr>
                <w:b/>
                <w:bCs/>
                <w:sz w:val="26"/>
                <w:szCs w:val="26"/>
              </w:rPr>
              <w:t>Birth-Age 5</w:t>
            </w:r>
          </w:p>
        </w:tc>
      </w:tr>
      <w:tr w:rsidR="00B501FB" w:rsidRPr="00E247BE" w14:paraId="6E9D4478" w14:textId="77777777" w:rsidTr="000C13D6">
        <w:trPr>
          <w:trHeight w:val="1972"/>
        </w:trPr>
        <w:tc>
          <w:tcPr>
            <w:tcW w:w="12145" w:type="dxa"/>
            <w:vMerge/>
          </w:tcPr>
          <w:p w14:paraId="34D238E0" w14:textId="77777777" w:rsidR="00B501FB" w:rsidRPr="000C13D6" w:rsidRDefault="00B501FB" w:rsidP="007C5C8F">
            <w:pPr>
              <w:rPr>
                <w:b/>
                <w:bCs/>
                <w:sz w:val="20"/>
              </w:rPr>
            </w:pPr>
          </w:p>
        </w:tc>
        <w:tc>
          <w:tcPr>
            <w:tcW w:w="537" w:type="dxa"/>
            <w:shd w:val="clear" w:color="auto" w:fill="FFC0CB"/>
            <w:textDirection w:val="btLr"/>
          </w:tcPr>
          <w:p w14:paraId="7FDCAC0F" w14:textId="77777777" w:rsidR="00B501FB" w:rsidRPr="000C13D6" w:rsidRDefault="00B501FB" w:rsidP="007C5C8F">
            <w:pPr>
              <w:ind w:left="113" w:right="113"/>
              <w:rPr>
                <w:b/>
                <w:bCs/>
                <w:sz w:val="18"/>
                <w:szCs w:val="18"/>
              </w:rPr>
            </w:pPr>
            <w:r w:rsidRPr="000C13D6">
              <w:rPr>
                <w:b/>
                <w:bCs/>
                <w:sz w:val="18"/>
                <w:szCs w:val="18"/>
              </w:rPr>
              <w:t>Area of Strength (3)</w:t>
            </w:r>
          </w:p>
        </w:tc>
        <w:tc>
          <w:tcPr>
            <w:tcW w:w="563" w:type="dxa"/>
            <w:shd w:val="clear" w:color="auto" w:fill="FFC0CB"/>
            <w:textDirection w:val="btLr"/>
          </w:tcPr>
          <w:p w14:paraId="4FC1AE9D" w14:textId="77777777" w:rsidR="00B501FB" w:rsidRPr="000C13D6" w:rsidRDefault="00B501FB" w:rsidP="007C5C8F">
            <w:pPr>
              <w:ind w:left="113" w:right="113"/>
              <w:rPr>
                <w:b/>
                <w:bCs/>
                <w:sz w:val="18"/>
                <w:szCs w:val="18"/>
              </w:rPr>
            </w:pPr>
            <w:r w:rsidRPr="000C13D6">
              <w:rPr>
                <w:b/>
                <w:bCs/>
                <w:sz w:val="18"/>
                <w:szCs w:val="18"/>
              </w:rPr>
              <w:t>In Place (2)</w:t>
            </w:r>
          </w:p>
        </w:tc>
        <w:tc>
          <w:tcPr>
            <w:tcW w:w="563" w:type="dxa"/>
            <w:shd w:val="clear" w:color="auto" w:fill="FFC0CB"/>
            <w:textDirection w:val="btLr"/>
          </w:tcPr>
          <w:p w14:paraId="54549DEB" w14:textId="77777777" w:rsidR="00B501FB" w:rsidRPr="000C13D6" w:rsidRDefault="00B501FB" w:rsidP="007C5C8F">
            <w:pPr>
              <w:ind w:left="113" w:right="113"/>
              <w:rPr>
                <w:b/>
                <w:bCs/>
                <w:sz w:val="18"/>
                <w:szCs w:val="18"/>
              </w:rPr>
            </w:pPr>
            <w:r w:rsidRPr="000C13D6">
              <w:rPr>
                <w:b/>
                <w:bCs/>
                <w:sz w:val="18"/>
                <w:szCs w:val="18"/>
              </w:rPr>
              <w:t>Emerging (1)</w:t>
            </w:r>
          </w:p>
        </w:tc>
        <w:tc>
          <w:tcPr>
            <w:tcW w:w="563" w:type="dxa"/>
            <w:shd w:val="clear" w:color="auto" w:fill="FFC0CB"/>
            <w:textDirection w:val="btLr"/>
          </w:tcPr>
          <w:p w14:paraId="4D3B14E4" w14:textId="77777777" w:rsidR="00B501FB" w:rsidRPr="000C13D6" w:rsidRDefault="00B501FB" w:rsidP="007C5C8F">
            <w:pPr>
              <w:ind w:left="113" w:right="113"/>
              <w:rPr>
                <w:b/>
                <w:bCs/>
                <w:sz w:val="18"/>
                <w:szCs w:val="18"/>
              </w:rPr>
            </w:pPr>
            <w:r w:rsidRPr="000C13D6">
              <w:rPr>
                <w:b/>
                <w:bCs/>
                <w:sz w:val="18"/>
                <w:szCs w:val="18"/>
              </w:rPr>
              <w:t>Not in Place (0)</w:t>
            </w:r>
          </w:p>
        </w:tc>
      </w:tr>
      <w:tr w:rsidR="00B501FB" w:rsidRPr="00E247BE" w14:paraId="69C8B708" w14:textId="77777777" w:rsidTr="000C13D6">
        <w:trPr>
          <w:trHeight w:val="20"/>
        </w:trPr>
        <w:tc>
          <w:tcPr>
            <w:tcW w:w="12145" w:type="dxa"/>
          </w:tcPr>
          <w:p w14:paraId="2258A10A" w14:textId="77777777" w:rsidR="00B501FB" w:rsidRPr="003919CD" w:rsidRDefault="00B501FB" w:rsidP="00B501FB">
            <w:pPr>
              <w:pStyle w:val="ListParagraph"/>
              <w:numPr>
                <w:ilvl w:val="0"/>
                <w:numId w:val="5"/>
              </w:numPr>
              <w:ind w:left="400"/>
            </w:pPr>
            <w:r w:rsidRPr="003919CD">
              <w:t>The LEA has a data specialist to oversee the collection, validation, and storage of student achievement data, provide special assessment training to staff, work with staff in the analysis of data, prepare timely reports, and identify</w:t>
            </w:r>
            <w:r>
              <w:t xml:space="preserve"> </w:t>
            </w:r>
            <w:r w:rsidRPr="003919CD">
              <w:t xml:space="preserve">trends.  </w:t>
            </w:r>
          </w:p>
        </w:tc>
        <w:tc>
          <w:tcPr>
            <w:tcW w:w="537" w:type="dxa"/>
            <w:shd w:val="clear" w:color="auto" w:fill="FFC0CB"/>
          </w:tcPr>
          <w:p w14:paraId="3D26B069" w14:textId="77777777" w:rsidR="00B501FB" w:rsidRDefault="00B501FB" w:rsidP="007C5C8F">
            <w:pPr>
              <w:jc w:val="center"/>
            </w:pPr>
          </w:p>
        </w:tc>
        <w:tc>
          <w:tcPr>
            <w:tcW w:w="563" w:type="dxa"/>
            <w:shd w:val="clear" w:color="auto" w:fill="FFC0CB"/>
          </w:tcPr>
          <w:p w14:paraId="104A7354" w14:textId="77777777" w:rsidR="00B501FB" w:rsidRDefault="00B501FB" w:rsidP="007C5C8F">
            <w:pPr>
              <w:jc w:val="center"/>
            </w:pPr>
          </w:p>
        </w:tc>
        <w:tc>
          <w:tcPr>
            <w:tcW w:w="563" w:type="dxa"/>
            <w:shd w:val="clear" w:color="auto" w:fill="FFC0CB"/>
          </w:tcPr>
          <w:p w14:paraId="1337266D" w14:textId="77777777" w:rsidR="00B501FB" w:rsidRDefault="00B501FB" w:rsidP="007C5C8F">
            <w:pPr>
              <w:jc w:val="center"/>
            </w:pPr>
          </w:p>
        </w:tc>
        <w:tc>
          <w:tcPr>
            <w:tcW w:w="563" w:type="dxa"/>
            <w:shd w:val="clear" w:color="auto" w:fill="FFC0CB"/>
          </w:tcPr>
          <w:p w14:paraId="45C9CCF5" w14:textId="77777777" w:rsidR="00B501FB" w:rsidRDefault="00B501FB" w:rsidP="007C5C8F">
            <w:pPr>
              <w:jc w:val="center"/>
            </w:pPr>
          </w:p>
        </w:tc>
      </w:tr>
      <w:tr w:rsidR="00B501FB" w:rsidRPr="00E247BE" w14:paraId="1AD6D08C" w14:textId="77777777" w:rsidTr="000C13D6">
        <w:trPr>
          <w:trHeight w:val="20"/>
        </w:trPr>
        <w:tc>
          <w:tcPr>
            <w:tcW w:w="12145" w:type="dxa"/>
          </w:tcPr>
          <w:p w14:paraId="54229A8D" w14:textId="77777777" w:rsidR="00B501FB" w:rsidRPr="003919CD" w:rsidRDefault="00B501FB" w:rsidP="00B501FB">
            <w:pPr>
              <w:pStyle w:val="ListParagraph"/>
              <w:numPr>
                <w:ilvl w:val="0"/>
                <w:numId w:val="5"/>
              </w:numPr>
              <w:ind w:left="400"/>
            </w:pPr>
            <w:r w:rsidRPr="003919CD">
              <w:t xml:space="preserve">A pool of </w:t>
            </w:r>
            <w:r>
              <w:t xml:space="preserve">local </w:t>
            </w:r>
            <w:r w:rsidRPr="003919CD">
              <w:t>competent trainers is established and maintained who are available to</w:t>
            </w:r>
            <w:r>
              <w:t>:</w:t>
            </w:r>
            <w:r w:rsidRPr="003919CD">
              <w:t xml:space="preserve"> </w:t>
            </w:r>
          </w:p>
          <w:p w14:paraId="4E8FFB99" w14:textId="77777777" w:rsidR="00B501FB" w:rsidRPr="003919CD" w:rsidRDefault="00B501FB" w:rsidP="00B501FB">
            <w:pPr>
              <w:pStyle w:val="ListParagraph"/>
              <w:numPr>
                <w:ilvl w:val="1"/>
                <w:numId w:val="7"/>
              </w:numPr>
              <w:ind w:left="860"/>
            </w:pPr>
            <w:r w:rsidRPr="003919CD">
              <w:t>Train LEA staff on data collection and interpretation (e.g., PSSA, Keystone Exams,</w:t>
            </w:r>
            <w:r>
              <w:t xml:space="preserve"> </w:t>
            </w:r>
            <w:r w:rsidRPr="003919CD">
              <w:t>PVAAS, DIBELS Next,</w:t>
            </w:r>
            <w:r>
              <w:t xml:space="preserve"> etc.</w:t>
            </w:r>
            <w:r w:rsidRPr="003919CD">
              <w:t xml:space="preserve">) </w:t>
            </w:r>
          </w:p>
          <w:p w14:paraId="04B3F766" w14:textId="77777777" w:rsidR="00B501FB" w:rsidRPr="003919CD" w:rsidRDefault="00B501FB" w:rsidP="00B501FB">
            <w:pPr>
              <w:pStyle w:val="ListParagraph"/>
              <w:numPr>
                <w:ilvl w:val="1"/>
                <w:numId w:val="7"/>
              </w:numPr>
              <w:ind w:left="860"/>
            </w:pPr>
            <w:r w:rsidRPr="003919CD">
              <w:t xml:space="preserve">Provide a comprehensive initial training on data collection to all new staff members </w:t>
            </w:r>
          </w:p>
          <w:p w14:paraId="0726BD3B" w14:textId="77777777" w:rsidR="00B501FB" w:rsidRPr="003919CD" w:rsidRDefault="00B501FB" w:rsidP="00B501FB">
            <w:pPr>
              <w:pStyle w:val="ListParagraph"/>
              <w:numPr>
                <w:ilvl w:val="1"/>
                <w:numId w:val="7"/>
              </w:numPr>
              <w:ind w:left="860"/>
            </w:pPr>
            <w:r w:rsidRPr="003919CD">
              <w:t xml:space="preserve">Provide quarterly follow-up and retooling trainings as needed </w:t>
            </w:r>
          </w:p>
          <w:p w14:paraId="7436243F" w14:textId="77777777" w:rsidR="00B501FB" w:rsidRPr="003919CD" w:rsidRDefault="00B501FB" w:rsidP="00B501FB">
            <w:pPr>
              <w:pStyle w:val="ListParagraph"/>
              <w:numPr>
                <w:ilvl w:val="1"/>
                <w:numId w:val="7"/>
              </w:numPr>
              <w:ind w:left="860"/>
            </w:pPr>
            <w:r w:rsidRPr="003919CD">
              <w:t>Conduct brief reliability checks to ensure that the data collected are reliable for all data collectors</w:t>
            </w:r>
          </w:p>
        </w:tc>
        <w:tc>
          <w:tcPr>
            <w:tcW w:w="537" w:type="dxa"/>
            <w:shd w:val="clear" w:color="auto" w:fill="FFC0CB"/>
          </w:tcPr>
          <w:p w14:paraId="5C197E58" w14:textId="77777777" w:rsidR="00B501FB" w:rsidRDefault="00B501FB" w:rsidP="007C5C8F">
            <w:pPr>
              <w:jc w:val="center"/>
            </w:pPr>
          </w:p>
        </w:tc>
        <w:tc>
          <w:tcPr>
            <w:tcW w:w="563" w:type="dxa"/>
            <w:shd w:val="clear" w:color="auto" w:fill="FFC0CB"/>
          </w:tcPr>
          <w:p w14:paraId="5910E0BE" w14:textId="77777777" w:rsidR="00B501FB" w:rsidRDefault="00B501FB" w:rsidP="007C5C8F">
            <w:pPr>
              <w:jc w:val="center"/>
            </w:pPr>
          </w:p>
        </w:tc>
        <w:tc>
          <w:tcPr>
            <w:tcW w:w="563" w:type="dxa"/>
            <w:shd w:val="clear" w:color="auto" w:fill="FFC0CB"/>
          </w:tcPr>
          <w:p w14:paraId="778AACA4" w14:textId="77777777" w:rsidR="00B501FB" w:rsidRDefault="00B501FB" w:rsidP="007C5C8F">
            <w:pPr>
              <w:jc w:val="center"/>
            </w:pPr>
          </w:p>
        </w:tc>
        <w:tc>
          <w:tcPr>
            <w:tcW w:w="563" w:type="dxa"/>
            <w:shd w:val="clear" w:color="auto" w:fill="FFC0CB"/>
          </w:tcPr>
          <w:p w14:paraId="1E0E04B2" w14:textId="77777777" w:rsidR="00B501FB" w:rsidRDefault="00B501FB" w:rsidP="007C5C8F">
            <w:pPr>
              <w:jc w:val="center"/>
            </w:pPr>
          </w:p>
        </w:tc>
      </w:tr>
      <w:tr w:rsidR="00B501FB" w:rsidRPr="00E247BE" w14:paraId="29FAF859" w14:textId="77777777" w:rsidTr="000C13D6">
        <w:trPr>
          <w:trHeight w:val="703"/>
        </w:trPr>
        <w:tc>
          <w:tcPr>
            <w:tcW w:w="12145" w:type="dxa"/>
          </w:tcPr>
          <w:p w14:paraId="3E0B40F5" w14:textId="77777777" w:rsidR="00B501FB" w:rsidRPr="00ED7722" w:rsidRDefault="00B501FB" w:rsidP="00B501FB">
            <w:pPr>
              <w:pStyle w:val="ListParagraph"/>
              <w:numPr>
                <w:ilvl w:val="0"/>
                <w:numId w:val="5"/>
              </w:numPr>
              <w:ind w:left="400"/>
            </w:pPr>
            <w:r w:rsidRPr="003919CD">
              <w:t xml:space="preserve">Ongoing training and support </w:t>
            </w:r>
            <w:proofErr w:type="gramStart"/>
            <w:r w:rsidRPr="003919CD">
              <w:t>is</w:t>
            </w:r>
            <w:proofErr w:type="gramEnd"/>
            <w:r w:rsidRPr="003919CD">
              <w:t xml:space="preserve"> provided to all staff who teach or supervise literacy programs in </w:t>
            </w:r>
            <w:r>
              <w:t>a</w:t>
            </w:r>
            <w:r w:rsidRPr="003919CD">
              <w:t>ssessments used by the LEA</w:t>
            </w:r>
            <w:r>
              <w:t>, d</w:t>
            </w:r>
            <w:r w:rsidRPr="003919CD">
              <w:t>ata analysis</w:t>
            </w:r>
            <w:r>
              <w:t>, d</w:t>
            </w:r>
            <w:r w:rsidRPr="003919CD">
              <w:t xml:space="preserve">ata </w:t>
            </w:r>
            <w:r>
              <w:t>i</w:t>
            </w:r>
            <w:r w:rsidRPr="003919CD">
              <w:t>nterpretation</w:t>
            </w:r>
            <w:r>
              <w:t>, and d</w:t>
            </w:r>
            <w:r w:rsidRPr="003919CD">
              <w:t>ata utilizatio</w:t>
            </w:r>
            <w:r>
              <w:t>n.</w:t>
            </w:r>
            <w:r w:rsidRPr="00ED7722">
              <w:t xml:space="preserve"> </w:t>
            </w:r>
          </w:p>
        </w:tc>
        <w:tc>
          <w:tcPr>
            <w:tcW w:w="537" w:type="dxa"/>
            <w:shd w:val="clear" w:color="auto" w:fill="FFC0CB"/>
          </w:tcPr>
          <w:p w14:paraId="50C7D663" w14:textId="77777777" w:rsidR="00B501FB" w:rsidRDefault="00B501FB" w:rsidP="007C5C8F">
            <w:pPr>
              <w:jc w:val="center"/>
            </w:pPr>
          </w:p>
        </w:tc>
        <w:tc>
          <w:tcPr>
            <w:tcW w:w="563" w:type="dxa"/>
            <w:shd w:val="clear" w:color="auto" w:fill="FFC0CB"/>
          </w:tcPr>
          <w:p w14:paraId="1D787693" w14:textId="77777777" w:rsidR="00B501FB" w:rsidRDefault="00B501FB" w:rsidP="007C5C8F">
            <w:pPr>
              <w:jc w:val="center"/>
            </w:pPr>
          </w:p>
        </w:tc>
        <w:tc>
          <w:tcPr>
            <w:tcW w:w="563" w:type="dxa"/>
            <w:shd w:val="clear" w:color="auto" w:fill="FFC0CB"/>
          </w:tcPr>
          <w:p w14:paraId="31699A61" w14:textId="77777777" w:rsidR="00B501FB" w:rsidRDefault="00B501FB" w:rsidP="007C5C8F">
            <w:pPr>
              <w:jc w:val="center"/>
            </w:pPr>
          </w:p>
        </w:tc>
        <w:tc>
          <w:tcPr>
            <w:tcW w:w="563" w:type="dxa"/>
            <w:shd w:val="clear" w:color="auto" w:fill="FFC0CB"/>
          </w:tcPr>
          <w:p w14:paraId="3B543ED3" w14:textId="77777777" w:rsidR="00B501FB" w:rsidRDefault="00B501FB" w:rsidP="007C5C8F">
            <w:pPr>
              <w:jc w:val="center"/>
            </w:pPr>
          </w:p>
        </w:tc>
      </w:tr>
      <w:tr w:rsidR="00B501FB" w:rsidRPr="00E247BE" w14:paraId="66ECB5E2" w14:textId="77777777" w:rsidTr="000C13D6">
        <w:trPr>
          <w:trHeight w:val="586"/>
        </w:trPr>
        <w:tc>
          <w:tcPr>
            <w:tcW w:w="12145" w:type="dxa"/>
          </w:tcPr>
          <w:p w14:paraId="1C16440D" w14:textId="77777777" w:rsidR="00B501FB" w:rsidRPr="008F389A" w:rsidRDefault="00B501FB" w:rsidP="00B501FB">
            <w:pPr>
              <w:pStyle w:val="ListParagraph"/>
              <w:numPr>
                <w:ilvl w:val="0"/>
                <w:numId w:val="5"/>
              </w:numPr>
              <w:ind w:left="400"/>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537" w:type="dxa"/>
            <w:shd w:val="clear" w:color="auto" w:fill="FFC0CB"/>
          </w:tcPr>
          <w:p w14:paraId="1D3D78C6" w14:textId="77777777" w:rsidR="00B501FB" w:rsidRDefault="00B501FB" w:rsidP="007C5C8F">
            <w:pPr>
              <w:jc w:val="center"/>
            </w:pPr>
          </w:p>
        </w:tc>
        <w:tc>
          <w:tcPr>
            <w:tcW w:w="563" w:type="dxa"/>
            <w:shd w:val="clear" w:color="auto" w:fill="FFC0CB"/>
          </w:tcPr>
          <w:p w14:paraId="5A4EF36F" w14:textId="77777777" w:rsidR="00B501FB" w:rsidRDefault="00B501FB" w:rsidP="007C5C8F">
            <w:pPr>
              <w:jc w:val="center"/>
            </w:pPr>
          </w:p>
        </w:tc>
        <w:tc>
          <w:tcPr>
            <w:tcW w:w="563" w:type="dxa"/>
            <w:shd w:val="clear" w:color="auto" w:fill="FFC0CB"/>
          </w:tcPr>
          <w:p w14:paraId="21DDC94F" w14:textId="77777777" w:rsidR="00B501FB" w:rsidRDefault="00B501FB" w:rsidP="007C5C8F">
            <w:pPr>
              <w:jc w:val="center"/>
            </w:pPr>
          </w:p>
        </w:tc>
        <w:tc>
          <w:tcPr>
            <w:tcW w:w="563" w:type="dxa"/>
            <w:shd w:val="clear" w:color="auto" w:fill="FFC0CB"/>
          </w:tcPr>
          <w:p w14:paraId="5480A953" w14:textId="77777777" w:rsidR="00B501FB" w:rsidRPr="001C42BA" w:rsidRDefault="00B501FB" w:rsidP="007C5C8F"/>
        </w:tc>
      </w:tr>
      <w:tr w:rsidR="00B501FB" w:rsidRPr="00E247BE" w14:paraId="14898D6A" w14:textId="77777777" w:rsidTr="000C13D6">
        <w:trPr>
          <w:trHeight w:val="379"/>
        </w:trPr>
        <w:tc>
          <w:tcPr>
            <w:tcW w:w="12145" w:type="dxa"/>
          </w:tcPr>
          <w:p w14:paraId="220A8C0D" w14:textId="77777777" w:rsidR="00B501FB" w:rsidRPr="008F389A" w:rsidRDefault="00B501FB" w:rsidP="00B501FB">
            <w:pPr>
              <w:pStyle w:val="ListParagraph"/>
              <w:numPr>
                <w:ilvl w:val="0"/>
                <w:numId w:val="5"/>
              </w:numPr>
              <w:ind w:left="400"/>
            </w:pPr>
            <w:r w:rsidRPr="008F389A">
              <w:t>Assessments are given in a standardized manner across students, classes, and schools.</w:t>
            </w:r>
          </w:p>
        </w:tc>
        <w:tc>
          <w:tcPr>
            <w:tcW w:w="537" w:type="dxa"/>
            <w:shd w:val="clear" w:color="auto" w:fill="FFC0CB"/>
          </w:tcPr>
          <w:p w14:paraId="09AB8640" w14:textId="77777777" w:rsidR="00B501FB" w:rsidRDefault="00B501FB" w:rsidP="007C5C8F">
            <w:pPr>
              <w:jc w:val="center"/>
            </w:pPr>
          </w:p>
        </w:tc>
        <w:tc>
          <w:tcPr>
            <w:tcW w:w="563" w:type="dxa"/>
            <w:shd w:val="clear" w:color="auto" w:fill="FFC0CB"/>
          </w:tcPr>
          <w:p w14:paraId="1449E938" w14:textId="77777777" w:rsidR="00B501FB" w:rsidRDefault="00B501FB" w:rsidP="007C5C8F">
            <w:pPr>
              <w:jc w:val="center"/>
            </w:pPr>
          </w:p>
        </w:tc>
        <w:tc>
          <w:tcPr>
            <w:tcW w:w="563" w:type="dxa"/>
            <w:shd w:val="clear" w:color="auto" w:fill="FFC0CB"/>
          </w:tcPr>
          <w:p w14:paraId="7284C403" w14:textId="77777777" w:rsidR="00B501FB" w:rsidRDefault="00B501FB" w:rsidP="007C5C8F">
            <w:pPr>
              <w:jc w:val="center"/>
            </w:pPr>
          </w:p>
        </w:tc>
        <w:tc>
          <w:tcPr>
            <w:tcW w:w="563" w:type="dxa"/>
            <w:shd w:val="clear" w:color="auto" w:fill="FFC0CB"/>
          </w:tcPr>
          <w:p w14:paraId="6A60898B" w14:textId="77777777" w:rsidR="00B501FB" w:rsidRPr="001C42BA" w:rsidRDefault="00B501FB" w:rsidP="007C5C8F"/>
        </w:tc>
      </w:tr>
      <w:tr w:rsidR="00B501FB" w:rsidRPr="00E247BE" w14:paraId="2224B19A" w14:textId="77777777" w:rsidTr="000C13D6">
        <w:trPr>
          <w:trHeight w:val="505"/>
        </w:trPr>
        <w:tc>
          <w:tcPr>
            <w:tcW w:w="12145" w:type="dxa"/>
          </w:tcPr>
          <w:p w14:paraId="7C02CEE8" w14:textId="77777777" w:rsidR="00B501FB" w:rsidRPr="008F389A" w:rsidRDefault="00B501FB" w:rsidP="00B501FB">
            <w:pPr>
              <w:pStyle w:val="ListParagraph"/>
              <w:numPr>
                <w:ilvl w:val="0"/>
                <w:numId w:val="5"/>
              </w:numPr>
              <w:ind w:left="400"/>
            </w:pPr>
            <w:r w:rsidRPr="008F389A">
              <w:lastRenderedPageBreak/>
              <w:t xml:space="preserve">A LEA-wide assessment calendar is established that specifies testing windows for each measure </w:t>
            </w:r>
            <w:r>
              <w:t xml:space="preserve">in </w:t>
            </w:r>
            <w:r w:rsidRPr="008F389A">
              <w:t xml:space="preserve">the assessment plan. </w:t>
            </w:r>
          </w:p>
        </w:tc>
        <w:tc>
          <w:tcPr>
            <w:tcW w:w="537" w:type="dxa"/>
            <w:shd w:val="clear" w:color="auto" w:fill="FFC0CB"/>
          </w:tcPr>
          <w:p w14:paraId="12C88B5A" w14:textId="77777777" w:rsidR="00B501FB" w:rsidRDefault="00B501FB" w:rsidP="007C5C8F">
            <w:pPr>
              <w:jc w:val="center"/>
            </w:pPr>
          </w:p>
        </w:tc>
        <w:tc>
          <w:tcPr>
            <w:tcW w:w="563" w:type="dxa"/>
            <w:shd w:val="clear" w:color="auto" w:fill="FFC0CB"/>
          </w:tcPr>
          <w:p w14:paraId="3296B2EB" w14:textId="77777777" w:rsidR="00B501FB" w:rsidRDefault="00B501FB" w:rsidP="007C5C8F">
            <w:pPr>
              <w:jc w:val="center"/>
            </w:pPr>
          </w:p>
        </w:tc>
        <w:tc>
          <w:tcPr>
            <w:tcW w:w="563" w:type="dxa"/>
            <w:shd w:val="clear" w:color="auto" w:fill="FFC0CB"/>
          </w:tcPr>
          <w:p w14:paraId="5A5AB630" w14:textId="77777777" w:rsidR="00B501FB" w:rsidRDefault="00B501FB" w:rsidP="007C5C8F">
            <w:pPr>
              <w:jc w:val="center"/>
            </w:pPr>
          </w:p>
        </w:tc>
        <w:tc>
          <w:tcPr>
            <w:tcW w:w="563" w:type="dxa"/>
            <w:shd w:val="clear" w:color="auto" w:fill="FFC0CB"/>
          </w:tcPr>
          <w:p w14:paraId="650C40F4" w14:textId="77777777" w:rsidR="00B501FB" w:rsidRPr="001C42BA" w:rsidRDefault="00B501FB" w:rsidP="007C5C8F"/>
        </w:tc>
      </w:tr>
      <w:tr w:rsidR="00B501FB" w:rsidRPr="00E247BE" w14:paraId="0E85ECEF" w14:textId="77777777" w:rsidTr="000C13D6">
        <w:trPr>
          <w:trHeight w:val="20"/>
        </w:trPr>
        <w:tc>
          <w:tcPr>
            <w:tcW w:w="12145" w:type="dxa"/>
          </w:tcPr>
          <w:p w14:paraId="74BE1611" w14:textId="77777777" w:rsidR="00B501FB" w:rsidRPr="008F389A" w:rsidRDefault="00B501FB" w:rsidP="00B501FB">
            <w:pPr>
              <w:pStyle w:val="ListParagraph"/>
              <w:numPr>
                <w:ilvl w:val="0"/>
                <w:numId w:val="5"/>
              </w:numPr>
              <w:ind w:left="400"/>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537" w:type="dxa"/>
            <w:shd w:val="clear" w:color="auto" w:fill="FFC0CB"/>
          </w:tcPr>
          <w:p w14:paraId="3B618210" w14:textId="77777777" w:rsidR="00B501FB" w:rsidRDefault="00B501FB" w:rsidP="007C5C8F">
            <w:pPr>
              <w:jc w:val="center"/>
            </w:pPr>
          </w:p>
        </w:tc>
        <w:tc>
          <w:tcPr>
            <w:tcW w:w="563" w:type="dxa"/>
            <w:shd w:val="clear" w:color="auto" w:fill="FFC0CB"/>
          </w:tcPr>
          <w:p w14:paraId="26C76B44" w14:textId="77777777" w:rsidR="00B501FB" w:rsidRDefault="00B501FB" w:rsidP="007C5C8F">
            <w:pPr>
              <w:jc w:val="center"/>
            </w:pPr>
          </w:p>
        </w:tc>
        <w:tc>
          <w:tcPr>
            <w:tcW w:w="563" w:type="dxa"/>
            <w:shd w:val="clear" w:color="auto" w:fill="FFC0CB"/>
          </w:tcPr>
          <w:p w14:paraId="4B6AE62C" w14:textId="77777777" w:rsidR="00B501FB" w:rsidRDefault="00B501FB" w:rsidP="007C5C8F">
            <w:pPr>
              <w:jc w:val="center"/>
            </w:pPr>
          </w:p>
        </w:tc>
        <w:tc>
          <w:tcPr>
            <w:tcW w:w="563" w:type="dxa"/>
            <w:shd w:val="clear" w:color="auto" w:fill="FFC0CB"/>
          </w:tcPr>
          <w:p w14:paraId="5F0CF0FC" w14:textId="77777777" w:rsidR="00B501FB" w:rsidRPr="001C42BA" w:rsidRDefault="00B501FB" w:rsidP="007C5C8F"/>
        </w:tc>
      </w:tr>
      <w:tr w:rsidR="00B501FB" w:rsidRPr="00E247BE" w14:paraId="5D95FFDE" w14:textId="77777777" w:rsidTr="000C13D6">
        <w:trPr>
          <w:trHeight w:val="720"/>
        </w:trPr>
        <w:tc>
          <w:tcPr>
            <w:tcW w:w="12145" w:type="dxa"/>
            <w:vAlign w:val="center"/>
          </w:tcPr>
          <w:p w14:paraId="42DF4A31" w14:textId="77777777" w:rsidR="00B501FB" w:rsidRPr="000C13D6" w:rsidRDefault="00B501FB" w:rsidP="0045289E">
            <w:pPr>
              <w:rPr>
                <w:b/>
                <w:bCs/>
              </w:rPr>
            </w:pPr>
            <w:r w:rsidRPr="000C13D6">
              <w:rPr>
                <w:b/>
                <w:bCs/>
                <w:sz w:val="24"/>
                <w:szCs w:val="24"/>
              </w:rPr>
              <w:t>Score (transfer score to page 3)</w:t>
            </w:r>
          </w:p>
        </w:tc>
        <w:tc>
          <w:tcPr>
            <w:tcW w:w="2226" w:type="dxa"/>
            <w:gridSpan w:val="4"/>
            <w:shd w:val="clear" w:color="auto" w:fill="FFC0CB"/>
            <w:vAlign w:val="center"/>
          </w:tcPr>
          <w:p w14:paraId="00587BE7" w14:textId="5FF9B179" w:rsidR="00B501FB" w:rsidRPr="000C13D6" w:rsidRDefault="00B501FB" w:rsidP="0045289E">
            <w:pPr>
              <w:jc w:val="center"/>
              <w:rPr>
                <w:b/>
                <w:bCs/>
                <w:sz w:val="28"/>
                <w:szCs w:val="28"/>
              </w:rPr>
            </w:pPr>
            <w:r w:rsidRPr="000C13D6">
              <w:rPr>
                <w:b/>
                <w:bCs/>
                <w:sz w:val="28"/>
                <w:szCs w:val="28"/>
              </w:rPr>
              <w:t>/21</w:t>
            </w:r>
          </w:p>
        </w:tc>
      </w:tr>
      <w:bookmarkEnd w:id="0"/>
    </w:tbl>
    <w:p w14:paraId="55152C15" w14:textId="26804589" w:rsidR="0045289E" w:rsidRDefault="0045289E"/>
    <w:p w14:paraId="5015C197" w14:textId="77777777" w:rsidR="0045289E" w:rsidRDefault="0045289E">
      <w:pPr>
        <w:rPr>
          <w:sz w:val="24"/>
          <w:szCs w:val="24"/>
        </w:rPr>
      </w:pPr>
      <w:r>
        <w:rPr>
          <w:sz w:val="24"/>
          <w:szCs w:val="24"/>
        </w:rPr>
        <w:br w:type="page"/>
      </w:r>
    </w:p>
    <w:p w14:paraId="2241D377" w14:textId="21F85D08" w:rsidR="0045289E" w:rsidRPr="00E25A1C" w:rsidRDefault="0045289E" w:rsidP="0045289E">
      <w:pPr>
        <w:rPr>
          <w:b/>
          <w:bCs/>
          <w:sz w:val="24"/>
          <w:szCs w:val="24"/>
        </w:rPr>
      </w:pPr>
      <w:r w:rsidRPr="00E25A1C">
        <w:rPr>
          <w:sz w:val="24"/>
          <w:szCs w:val="24"/>
        </w:rPr>
        <w:lastRenderedPageBreak/>
        <w:t xml:space="preserve">Formative and summative evaluations are incorporated at all grade spans. </w:t>
      </w:r>
    </w:p>
    <w:p w14:paraId="77D27DF8" w14:textId="32243569" w:rsidR="00B501FB" w:rsidRPr="0045289E" w:rsidRDefault="0045289E" w:rsidP="0045289E">
      <w:pPr>
        <w:rPr>
          <w:b/>
          <w:bCs/>
        </w:rPr>
      </w:pPr>
      <w:r w:rsidRPr="00E25A1C">
        <w:rPr>
          <w:sz w:val="24"/>
          <w:szCs w:val="24"/>
        </w:rPr>
        <w:t>Data are reviewed regularly by administrators and teachers, and instruction and support are adjusted accordingly across the LEA.</w:t>
      </w:r>
      <w:r w:rsidRPr="008F389A">
        <w:t xml:space="preserve"> </w:t>
      </w:r>
    </w:p>
    <w:tbl>
      <w:tblPr>
        <w:tblStyle w:val="GridTable1Light"/>
        <w:tblpPr w:leftFromText="180" w:rightFromText="180" w:vertAnchor="text" w:horzAnchor="margin" w:tblpXSpec="center" w:tblpY="-3"/>
        <w:tblW w:w="143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Look w:val="0460" w:firstRow="1" w:lastRow="1" w:firstColumn="0" w:lastColumn="0" w:noHBand="0" w:noVBand="1"/>
      </w:tblPr>
      <w:tblGrid>
        <w:gridCol w:w="12055"/>
        <w:gridCol w:w="564"/>
        <w:gridCol w:w="564"/>
        <w:gridCol w:w="564"/>
        <w:gridCol w:w="564"/>
      </w:tblGrid>
      <w:tr w:rsidR="0045289E" w:rsidRPr="00E247BE" w14:paraId="7E22BA54" w14:textId="77777777" w:rsidTr="0045289E">
        <w:trPr>
          <w:cnfStyle w:val="100000000000" w:firstRow="1" w:lastRow="0" w:firstColumn="0" w:lastColumn="0" w:oddVBand="0" w:evenVBand="0" w:oddHBand="0" w:evenHBand="0" w:firstRowFirstColumn="0" w:firstRowLastColumn="0" w:lastRowFirstColumn="0" w:lastRowLastColumn="0"/>
          <w:trHeight w:val="342"/>
          <w:tblHeader/>
        </w:trPr>
        <w:tc>
          <w:tcPr>
            <w:tcW w:w="12055" w:type="dxa"/>
            <w:vMerge w:val="restart"/>
            <w:tcBorders>
              <w:top w:val="single" w:sz="4" w:space="0" w:color="auto"/>
              <w:left w:val="single" w:sz="4" w:space="0" w:color="auto"/>
              <w:bottom w:val="single" w:sz="4" w:space="0" w:color="auto"/>
              <w:right w:val="single" w:sz="4" w:space="0" w:color="auto"/>
            </w:tcBorders>
            <w:vAlign w:val="center"/>
          </w:tcPr>
          <w:p w14:paraId="5AA0D13B" w14:textId="77777777" w:rsidR="0045289E" w:rsidRPr="00EA0BFD" w:rsidRDefault="0045289E" w:rsidP="0045289E">
            <w:pPr>
              <w:jc w:val="center"/>
              <w:rPr>
                <w:sz w:val="20"/>
              </w:rPr>
            </w:pPr>
            <w:r w:rsidRPr="00EA0BFD">
              <w:t>Strategies and Actions Recommended to Support Implementation of the LEA Framework</w:t>
            </w:r>
          </w:p>
        </w:tc>
        <w:tc>
          <w:tcPr>
            <w:tcW w:w="2256"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6687ADC8" w14:textId="77777777" w:rsidR="0045289E" w:rsidRPr="00B22F5A" w:rsidRDefault="0045289E" w:rsidP="0045289E">
            <w:pPr>
              <w:jc w:val="center"/>
              <w:rPr>
                <w:sz w:val="28"/>
                <w:szCs w:val="28"/>
              </w:rPr>
            </w:pPr>
            <w:r w:rsidRPr="00B22F5A">
              <w:t>Birth-Age 5</w:t>
            </w:r>
          </w:p>
        </w:tc>
      </w:tr>
      <w:tr w:rsidR="0045289E" w:rsidRPr="00E247BE" w14:paraId="2794963B" w14:textId="77777777" w:rsidTr="00FE3859">
        <w:trPr>
          <w:cnfStyle w:val="100000000000" w:firstRow="1" w:lastRow="0" w:firstColumn="0" w:lastColumn="0" w:oddVBand="0" w:evenVBand="0" w:oddHBand="0" w:evenHBand="0" w:firstRowFirstColumn="0" w:firstRowLastColumn="0" w:lastRowFirstColumn="0" w:lastRowLastColumn="0"/>
          <w:trHeight w:val="2078"/>
          <w:tblHeader/>
        </w:trPr>
        <w:tc>
          <w:tcPr>
            <w:tcW w:w="12055" w:type="dxa"/>
            <w:vMerge/>
            <w:tcBorders>
              <w:top w:val="single" w:sz="4" w:space="0" w:color="auto"/>
              <w:left w:val="single" w:sz="4" w:space="0" w:color="auto"/>
              <w:bottom w:val="single" w:sz="4" w:space="0" w:color="auto"/>
              <w:right w:val="single" w:sz="4" w:space="0" w:color="auto"/>
            </w:tcBorders>
            <w:vAlign w:val="center"/>
          </w:tcPr>
          <w:p w14:paraId="15531F34" w14:textId="77777777" w:rsidR="0045289E" w:rsidRPr="008731AB" w:rsidRDefault="0045289E" w:rsidP="00FE3859">
            <w:pPr>
              <w:rPr>
                <w:sz w:val="20"/>
              </w:rPr>
            </w:pPr>
          </w:p>
        </w:tc>
        <w:tc>
          <w:tcPr>
            <w:tcW w:w="56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0E0DCF1" w14:textId="77777777" w:rsidR="0045289E" w:rsidRPr="000B7BE6" w:rsidRDefault="0045289E" w:rsidP="00FE3859">
            <w:pPr>
              <w:ind w:left="113" w:right="113"/>
              <w:rPr>
                <w:sz w:val="18"/>
                <w:szCs w:val="18"/>
              </w:rPr>
            </w:pPr>
            <w:r>
              <w:rPr>
                <w:sz w:val="18"/>
                <w:szCs w:val="18"/>
              </w:rPr>
              <w:t>Area</w:t>
            </w:r>
            <w:r w:rsidRPr="000B7BE6">
              <w:rPr>
                <w:sz w:val="18"/>
                <w:szCs w:val="18"/>
              </w:rPr>
              <w:t xml:space="preserve"> of Strength (3)</w:t>
            </w:r>
          </w:p>
        </w:tc>
        <w:tc>
          <w:tcPr>
            <w:tcW w:w="56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D88D53B" w14:textId="77777777" w:rsidR="0045289E" w:rsidRPr="000B7BE6" w:rsidRDefault="0045289E" w:rsidP="00FE3859">
            <w:pPr>
              <w:ind w:left="113" w:right="113"/>
              <w:rPr>
                <w:sz w:val="18"/>
                <w:szCs w:val="18"/>
              </w:rPr>
            </w:pPr>
            <w:r w:rsidRPr="000B7BE6">
              <w:rPr>
                <w:sz w:val="18"/>
                <w:szCs w:val="18"/>
              </w:rPr>
              <w:t>In Place (2)</w:t>
            </w:r>
          </w:p>
        </w:tc>
        <w:tc>
          <w:tcPr>
            <w:tcW w:w="56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568FD71" w14:textId="77777777" w:rsidR="0045289E" w:rsidRPr="000B7BE6" w:rsidRDefault="0045289E" w:rsidP="00FE3859">
            <w:pPr>
              <w:ind w:left="113" w:right="113"/>
              <w:rPr>
                <w:sz w:val="18"/>
                <w:szCs w:val="18"/>
              </w:rPr>
            </w:pPr>
            <w:r w:rsidRPr="000B7BE6">
              <w:rPr>
                <w:sz w:val="18"/>
                <w:szCs w:val="18"/>
              </w:rPr>
              <w:t>Emerging (1)</w:t>
            </w:r>
          </w:p>
        </w:tc>
        <w:tc>
          <w:tcPr>
            <w:tcW w:w="56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7CFBD0D" w14:textId="77777777" w:rsidR="0045289E" w:rsidRPr="000B7BE6" w:rsidRDefault="0045289E" w:rsidP="00FE3859">
            <w:pPr>
              <w:ind w:left="113" w:right="113"/>
              <w:rPr>
                <w:sz w:val="18"/>
                <w:szCs w:val="18"/>
              </w:rPr>
            </w:pPr>
            <w:r w:rsidRPr="000B7BE6">
              <w:rPr>
                <w:sz w:val="18"/>
                <w:szCs w:val="18"/>
              </w:rPr>
              <w:t>Not in Place (0)</w:t>
            </w:r>
          </w:p>
        </w:tc>
      </w:tr>
      <w:tr w:rsidR="0045289E" w:rsidRPr="00E247BE" w14:paraId="1BFEC6CE" w14:textId="77777777" w:rsidTr="00FE3859">
        <w:trPr>
          <w:cantSplit/>
          <w:trHeight w:val="20"/>
        </w:trPr>
        <w:tc>
          <w:tcPr>
            <w:tcW w:w="12055" w:type="dxa"/>
            <w:tcBorders>
              <w:top w:val="single" w:sz="4" w:space="0" w:color="auto"/>
              <w:left w:val="single" w:sz="4" w:space="0" w:color="auto"/>
              <w:bottom w:val="single" w:sz="4" w:space="0" w:color="auto"/>
              <w:right w:val="single" w:sz="4" w:space="0" w:color="auto"/>
            </w:tcBorders>
            <w:vAlign w:val="center"/>
          </w:tcPr>
          <w:p w14:paraId="0A542E9A" w14:textId="77777777" w:rsidR="0045289E" w:rsidRPr="008F389A" w:rsidRDefault="0045289E" w:rsidP="00FE3859">
            <w:pPr>
              <w:pStyle w:val="ListParagraph"/>
              <w:numPr>
                <w:ilvl w:val="0"/>
                <w:numId w:val="6"/>
              </w:numPr>
              <w:ind w:left="400"/>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5A8C8344"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5B949FD1"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6FC40624"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4E2C7E86" w14:textId="77777777" w:rsidR="0045289E" w:rsidRDefault="0045289E" w:rsidP="00FE3859">
            <w:pPr>
              <w:jc w:val="center"/>
            </w:pPr>
          </w:p>
        </w:tc>
      </w:tr>
      <w:tr w:rsidR="0045289E" w:rsidRPr="00E247BE" w14:paraId="07528ABE" w14:textId="77777777" w:rsidTr="00FE3859">
        <w:trPr>
          <w:cantSplit/>
          <w:trHeight w:val="20"/>
        </w:trPr>
        <w:tc>
          <w:tcPr>
            <w:tcW w:w="12055" w:type="dxa"/>
            <w:tcBorders>
              <w:top w:val="single" w:sz="4" w:space="0" w:color="auto"/>
              <w:left w:val="single" w:sz="4" w:space="0" w:color="auto"/>
              <w:bottom w:val="single" w:sz="4" w:space="0" w:color="auto"/>
              <w:right w:val="single" w:sz="4" w:space="0" w:color="auto"/>
            </w:tcBorders>
            <w:vAlign w:val="center"/>
          </w:tcPr>
          <w:p w14:paraId="181D846F" w14:textId="77777777" w:rsidR="0045289E" w:rsidRPr="008F389A" w:rsidRDefault="0045289E" w:rsidP="00FE3859">
            <w:pPr>
              <w:pStyle w:val="ListParagraph"/>
              <w:numPr>
                <w:ilvl w:val="0"/>
                <w:numId w:val="6"/>
              </w:numPr>
              <w:ind w:left="400"/>
            </w:pPr>
            <w:r w:rsidRPr="008F389A">
              <w:t xml:space="preserve">LEA supports schools by ensuring that teachers are provided the time needed to conduct regularly scheduled data meetings to: </w:t>
            </w:r>
          </w:p>
          <w:p w14:paraId="3F6E679F" w14:textId="77777777" w:rsidR="0045289E" w:rsidRDefault="0045289E" w:rsidP="00FE3859">
            <w:pPr>
              <w:pStyle w:val="ListParagraph"/>
              <w:numPr>
                <w:ilvl w:val="1"/>
                <w:numId w:val="8"/>
              </w:numPr>
              <w:ind w:left="860"/>
            </w:pPr>
            <w:r w:rsidRPr="008F389A">
              <w:t>Review results of literacy performance assessments on an ongoing basis (e.g., every 2-4 weeks for students below benchmark levels and 3-5 times/year for those at/above benchmark level).</w:t>
            </w:r>
          </w:p>
          <w:p w14:paraId="098A1BAD" w14:textId="77777777" w:rsidR="0045289E" w:rsidRPr="008F389A" w:rsidRDefault="0045289E" w:rsidP="00FE3859">
            <w:pPr>
              <w:pStyle w:val="ListParagraph"/>
              <w:numPr>
                <w:ilvl w:val="1"/>
                <w:numId w:val="8"/>
              </w:numPr>
              <w:ind w:left="860"/>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12547851"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4D98854E"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6F3EDEEB"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59FAD88D" w14:textId="77777777" w:rsidR="0045289E" w:rsidRDefault="0045289E" w:rsidP="00FE3859">
            <w:pPr>
              <w:jc w:val="center"/>
            </w:pPr>
          </w:p>
        </w:tc>
      </w:tr>
      <w:tr w:rsidR="0045289E" w:rsidRPr="00E247BE" w14:paraId="554A759E" w14:textId="77777777" w:rsidTr="00FE3859">
        <w:trPr>
          <w:cantSplit/>
          <w:trHeight w:val="612"/>
        </w:trPr>
        <w:tc>
          <w:tcPr>
            <w:tcW w:w="12055" w:type="dxa"/>
            <w:tcBorders>
              <w:top w:val="single" w:sz="4" w:space="0" w:color="auto"/>
              <w:left w:val="single" w:sz="4" w:space="0" w:color="auto"/>
              <w:bottom w:val="single" w:sz="4" w:space="0" w:color="auto"/>
              <w:right w:val="single" w:sz="4" w:space="0" w:color="auto"/>
            </w:tcBorders>
            <w:vAlign w:val="center"/>
          </w:tcPr>
          <w:p w14:paraId="04A1559F" w14:textId="77777777" w:rsidR="0045289E" w:rsidRPr="008F389A" w:rsidRDefault="0045289E" w:rsidP="00FE3859">
            <w:pPr>
              <w:pStyle w:val="ListParagraph"/>
              <w:numPr>
                <w:ilvl w:val="0"/>
                <w:numId w:val="6"/>
              </w:numPr>
              <w:ind w:left="400"/>
            </w:pP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3C5E69E3"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0D10FAFE"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5F79875D" w14:textId="77777777" w:rsidR="0045289E" w:rsidRDefault="0045289E" w:rsidP="00FE3859">
            <w:pPr>
              <w:jc w:val="center"/>
            </w:pPr>
          </w:p>
        </w:tc>
        <w:tc>
          <w:tcPr>
            <w:tcW w:w="564" w:type="dxa"/>
            <w:tcBorders>
              <w:top w:val="single" w:sz="4" w:space="0" w:color="auto"/>
              <w:left w:val="single" w:sz="4" w:space="0" w:color="auto"/>
              <w:bottom w:val="single" w:sz="4" w:space="0" w:color="auto"/>
              <w:right w:val="single" w:sz="4" w:space="0" w:color="auto"/>
            </w:tcBorders>
            <w:shd w:val="clear" w:color="auto" w:fill="FFC0CB"/>
            <w:vAlign w:val="center"/>
          </w:tcPr>
          <w:p w14:paraId="544AD140" w14:textId="77777777" w:rsidR="0045289E" w:rsidRDefault="0045289E" w:rsidP="00FE3859">
            <w:pPr>
              <w:jc w:val="center"/>
            </w:pPr>
          </w:p>
        </w:tc>
      </w:tr>
      <w:tr w:rsidR="0045289E" w:rsidRPr="00E247BE" w14:paraId="46B269B8" w14:textId="77777777" w:rsidTr="00FE3859">
        <w:trPr>
          <w:cantSplit/>
          <w:trHeight w:val="431"/>
        </w:trPr>
        <w:tc>
          <w:tcPr>
            <w:tcW w:w="12055" w:type="dxa"/>
            <w:tcBorders>
              <w:top w:val="single" w:sz="4" w:space="0" w:color="auto"/>
              <w:left w:val="single" w:sz="4" w:space="0" w:color="auto"/>
              <w:bottom w:val="single" w:sz="4" w:space="0" w:color="auto"/>
              <w:right w:val="single" w:sz="4" w:space="0" w:color="auto"/>
            </w:tcBorders>
            <w:vAlign w:val="center"/>
          </w:tcPr>
          <w:p w14:paraId="248F016C" w14:textId="77777777" w:rsidR="0045289E" w:rsidRPr="00B34514" w:rsidRDefault="0045289E" w:rsidP="00FE3859">
            <w:pPr>
              <w:rPr>
                <w:b/>
                <w:sz w:val="24"/>
                <w:szCs w:val="24"/>
              </w:rPr>
            </w:pPr>
            <w:r w:rsidRPr="00B34514">
              <w:rPr>
                <w:b/>
                <w:sz w:val="24"/>
                <w:szCs w:val="24"/>
              </w:rPr>
              <w:t>Score (transfer score to page 3)</w:t>
            </w:r>
          </w:p>
        </w:tc>
        <w:tc>
          <w:tcPr>
            <w:tcW w:w="2256"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D36499A" w14:textId="77777777" w:rsidR="0045289E" w:rsidRPr="006F7B51" w:rsidRDefault="0045289E" w:rsidP="00FE3859">
            <w:pPr>
              <w:jc w:val="center"/>
              <w:rPr>
                <w:b/>
                <w:sz w:val="28"/>
                <w:szCs w:val="28"/>
              </w:rPr>
            </w:pPr>
            <w:r w:rsidRPr="006F7B51">
              <w:rPr>
                <w:b/>
                <w:sz w:val="28"/>
                <w:szCs w:val="28"/>
              </w:rPr>
              <w:t>/</w:t>
            </w:r>
            <w:r>
              <w:rPr>
                <w:b/>
                <w:sz w:val="28"/>
                <w:szCs w:val="28"/>
              </w:rPr>
              <w:t>9</w:t>
            </w:r>
          </w:p>
        </w:tc>
      </w:tr>
      <w:tr w:rsidR="0045289E" w:rsidRPr="00E247BE" w14:paraId="17CD1826" w14:textId="77777777" w:rsidTr="00FE3859">
        <w:trPr>
          <w:cnfStyle w:val="010000000000" w:firstRow="0" w:lastRow="1" w:firstColumn="0" w:lastColumn="0" w:oddVBand="0" w:evenVBand="0" w:oddHBand="0" w:evenHBand="0" w:firstRowFirstColumn="0" w:firstRowLastColumn="0" w:lastRowFirstColumn="0" w:lastRowLastColumn="0"/>
          <w:cantSplit/>
          <w:trHeight w:val="431"/>
        </w:trPr>
        <w:tc>
          <w:tcPr>
            <w:tcW w:w="12055" w:type="dxa"/>
            <w:tcBorders>
              <w:top w:val="single" w:sz="4" w:space="0" w:color="auto"/>
              <w:left w:val="single" w:sz="4" w:space="0" w:color="auto"/>
              <w:bottom w:val="single" w:sz="4" w:space="0" w:color="auto"/>
              <w:right w:val="single" w:sz="4" w:space="0" w:color="auto"/>
            </w:tcBorders>
            <w:vAlign w:val="center"/>
          </w:tcPr>
          <w:p w14:paraId="458E8A57" w14:textId="77777777" w:rsidR="0045289E" w:rsidRDefault="0045289E" w:rsidP="00FE3859">
            <w:pPr>
              <w:rPr>
                <w:b w:val="0"/>
                <w:bCs w:val="0"/>
                <w:sz w:val="24"/>
                <w:szCs w:val="24"/>
              </w:rPr>
            </w:pPr>
            <w:r w:rsidRPr="00491BF5">
              <w:rPr>
                <w:sz w:val="24"/>
                <w:szCs w:val="24"/>
              </w:rPr>
              <w:t xml:space="preserve">Total Score for </w:t>
            </w:r>
            <w:r>
              <w:rPr>
                <w:sz w:val="24"/>
                <w:szCs w:val="24"/>
              </w:rPr>
              <w:t>Assessment</w:t>
            </w:r>
            <w:r w:rsidRPr="00491BF5">
              <w:rPr>
                <w:sz w:val="24"/>
                <w:szCs w:val="24"/>
              </w:rPr>
              <w:t xml:space="preserve"> </w:t>
            </w:r>
          </w:p>
          <w:p w14:paraId="085E04EC" w14:textId="77777777" w:rsidR="0045289E" w:rsidRPr="00491BF5" w:rsidRDefault="0045289E" w:rsidP="00FE3859">
            <w:pPr>
              <w:rPr>
                <w:sz w:val="24"/>
                <w:szCs w:val="24"/>
              </w:rPr>
            </w:pPr>
            <w:r w:rsidRPr="00491BF5">
              <w:rPr>
                <w:sz w:val="24"/>
                <w:szCs w:val="24"/>
              </w:rPr>
              <w:t xml:space="preserve">page 1 </w:t>
            </w:r>
            <w:r>
              <w:rPr>
                <w:sz w:val="24"/>
                <w:szCs w:val="24"/>
              </w:rPr>
              <w:t xml:space="preserve">____ </w:t>
            </w:r>
            <w:r w:rsidRPr="00491BF5">
              <w:rPr>
                <w:sz w:val="24"/>
                <w:szCs w:val="24"/>
              </w:rPr>
              <w:t xml:space="preserve">+ page 2 </w:t>
            </w:r>
            <w:r>
              <w:rPr>
                <w:sz w:val="24"/>
                <w:szCs w:val="24"/>
              </w:rPr>
              <w:t xml:space="preserve">____ </w:t>
            </w:r>
            <w:r w:rsidRPr="00491BF5">
              <w:rPr>
                <w:sz w:val="24"/>
                <w:szCs w:val="24"/>
              </w:rPr>
              <w:t>+ page 3</w:t>
            </w:r>
            <w:r>
              <w:rPr>
                <w:sz w:val="24"/>
                <w:szCs w:val="24"/>
              </w:rPr>
              <w:t xml:space="preserve"> ____ = ___ /45</w:t>
            </w:r>
          </w:p>
        </w:tc>
        <w:tc>
          <w:tcPr>
            <w:tcW w:w="2256"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9EF98FE" w14:textId="77777777" w:rsidR="0045289E" w:rsidRPr="002B749C" w:rsidRDefault="0045289E" w:rsidP="00FE3859">
            <w:pPr>
              <w:jc w:val="right"/>
              <w:rPr>
                <w:sz w:val="36"/>
                <w:szCs w:val="36"/>
              </w:rPr>
            </w:pPr>
            <w:r w:rsidRPr="002B749C">
              <w:rPr>
                <w:sz w:val="36"/>
                <w:szCs w:val="36"/>
              </w:rPr>
              <w:t>/4</w:t>
            </w:r>
            <w:r>
              <w:rPr>
                <w:sz w:val="36"/>
                <w:szCs w:val="36"/>
              </w:rPr>
              <w:t>5</w:t>
            </w:r>
          </w:p>
        </w:tc>
      </w:tr>
    </w:tbl>
    <w:p w14:paraId="61377DCA" w14:textId="77777777" w:rsidR="00B501FB" w:rsidRDefault="00B501FB" w:rsidP="00B501FB">
      <w:pPr>
        <w:spacing w:after="0"/>
        <w:ind w:left="-720"/>
        <w:rPr>
          <w:b/>
          <w:sz w:val="28"/>
          <w:szCs w:val="28"/>
        </w:rPr>
      </w:pPr>
    </w:p>
    <w:p w14:paraId="28E1A166" w14:textId="77777777" w:rsidR="00B501FB" w:rsidRDefault="00B501FB" w:rsidP="00B501FB">
      <w:pPr>
        <w:spacing w:after="160" w:line="259" w:lineRule="auto"/>
        <w:rPr>
          <w:b/>
          <w:sz w:val="28"/>
          <w:szCs w:val="28"/>
        </w:rPr>
      </w:pPr>
      <w:r>
        <w:rPr>
          <w:b/>
          <w:sz w:val="28"/>
          <w:szCs w:val="28"/>
        </w:rPr>
        <w:br w:type="page"/>
      </w:r>
    </w:p>
    <w:p w14:paraId="72F998EC" w14:textId="77777777" w:rsidR="00B501FB" w:rsidRPr="00EE094A" w:rsidRDefault="00B501FB" w:rsidP="00D80DFD">
      <w:pPr>
        <w:pStyle w:val="Heading2"/>
        <w:shd w:val="clear" w:color="auto" w:fill="FFC0CB"/>
      </w:pPr>
      <w:r w:rsidRPr="00EE094A">
        <w:lastRenderedPageBreak/>
        <w:t>Assessment (</w:t>
      </w:r>
      <w:r>
        <w:t>Birth-Age 5</w:t>
      </w:r>
      <w:r w:rsidRPr="00EE094A">
        <w:t>)</w:t>
      </w:r>
    </w:p>
    <w:p w14:paraId="6C6C91E3" w14:textId="77777777" w:rsidR="00B501FB" w:rsidRPr="0045289E" w:rsidRDefault="00B501FB" w:rsidP="0045289E">
      <w:pPr>
        <w:rPr>
          <w:b/>
        </w:rPr>
      </w:pPr>
      <w:r w:rsidRPr="0045289E">
        <w:rPr>
          <w:b/>
        </w:rPr>
        <w:t>Evidence and Notes:</w:t>
      </w:r>
    </w:p>
    <w:p w14:paraId="1C25B0EC" w14:textId="77777777" w:rsidR="00B501FB" w:rsidRDefault="00B501FB" w:rsidP="00B501FB">
      <w:pPr>
        <w:ind w:left="-720"/>
        <w:rPr>
          <w:b/>
        </w:rPr>
      </w:pPr>
    </w:p>
    <w:p w14:paraId="6D010029" w14:textId="77777777" w:rsidR="00B501FB" w:rsidRDefault="00B501FB" w:rsidP="00B501FB">
      <w:pPr>
        <w:ind w:left="-720"/>
        <w:rPr>
          <w:b/>
        </w:rPr>
      </w:pPr>
    </w:p>
    <w:p w14:paraId="5A700819" w14:textId="77777777" w:rsidR="00B501FB" w:rsidRDefault="00B501FB" w:rsidP="00B501FB">
      <w:pPr>
        <w:ind w:left="-720"/>
        <w:rPr>
          <w:b/>
        </w:rPr>
      </w:pPr>
    </w:p>
    <w:p w14:paraId="16F393CE" w14:textId="77777777" w:rsidR="00B501FB" w:rsidRDefault="00B501FB" w:rsidP="00B501FB">
      <w:pPr>
        <w:ind w:left="-720"/>
        <w:rPr>
          <w:b/>
        </w:rPr>
      </w:pPr>
    </w:p>
    <w:p w14:paraId="197A0ED2" w14:textId="77777777" w:rsidR="00B501FB" w:rsidRDefault="00B501FB" w:rsidP="00B501FB">
      <w:pPr>
        <w:ind w:left="-720"/>
        <w:rPr>
          <w:b/>
        </w:rPr>
      </w:pPr>
    </w:p>
    <w:p w14:paraId="7A973E9D" w14:textId="77777777" w:rsidR="00B501FB" w:rsidRDefault="00B501FB" w:rsidP="00B501FB">
      <w:pPr>
        <w:ind w:left="-720"/>
        <w:rPr>
          <w:b/>
        </w:rPr>
      </w:pPr>
    </w:p>
    <w:p w14:paraId="174A134F" w14:textId="77777777" w:rsidR="00B501FB" w:rsidRPr="0045289E" w:rsidRDefault="00B501FB" w:rsidP="0045289E">
      <w:pPr>
        <w:rPr>
          <w:b/>
        </w:rPr>
      </w:pPr>
      <w:r w:rsidRPr="0045289E">
        <w:rPr>
          <w:b/>
        </w:rPr>
        <w:t>Priority Areas for Needed Improvement:</w:t>
      </w:r>
    </w:p>
    <w:p w14:paraId="0FD3845C" w14:textId="77777777" w:rsidR="00B501FB" w:rsidRDefault="00B501FB" w:rsidP="00B501FB"/>
    <w:p w14:paraId="3B99AAC8" w14:textId="5CA45AF1" w:rsidR="005A2DBD" w:rsidRDefault="005A2DBD" w:rsidP="005A2DBD">
      <w:pPr>
        <w:rPr>
          <w:rFonts w:cs="Arial"/>
        </w:rPr>
      </w:pPr>
    </w:p>
    <w:sectPr w:rsidR="005A2DBD" w:rsidSect="0045289E">
      <w:footerReference w:type="default" r:id="rId12"/>
      <w:pgSz w:w="15840" w:h="12240" w:orient="landscape"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217B" w14:textId="77777777" w:rsidR="00470A35" w:rsidRDefault="00470A35" w:rsidP="009D7A33">
      <w:pPr>
        <w:spacing w:after="0"/>
      </w:pPr>
      <w:r>
        <w:separator/>
      </w:r>
    </w:p>
  </w:endnote>
  <w:endnote w:type="continuationSeparator" w:id="0">
    <w:p w14:paraId="61A8B803" w14:textId="77777777" w:rsidR="00470A35" w:rsidRDefault="00470A35"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18FC5080" w:rsidR="00940266" w:rsidRPr="009B1F1C" w:rsidRDefault="0045289E" w:rsidP="0045289E">
    <w:pPr>
      <w:pStyle w:val="Footer"/>
      <w:pageBreakBefore/>
      <w:tabs>
        <w:tab w:val="clear" w:pos="9360"/>
        <w:tab w:val="right" w:pos="14400"/>
      </w:tabs>
      <w:rPr>
        <w:rFonts w:cs="Arial"/>
        <w:color w:val="000000" w:themeColor="text1"/>
        <w:szCs w:val="24"/>
      </w:rPr>
    </w:pPr>
    <w:r>
      <w:rPr>
        <w:rFonts w:cs="Arial"/>
        <w:color w:val="000000" w:themeColor="text1"/>
      </w:rPr>
      <w:tab/>
    </w:r>
    <w:r>
      <w:rPr>
        <w:rFonts w:cs="Arial"/>
        <w:color w:val="000000" w:themeColor="text1"/>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885E" w14:textId="77777777" w:rsidR="00470A35" w:rsidRDefault="00470A35" w:rsidP="009D7A33">
      <w:pPr>
        <w:spacing w:after="0"/>
      </w:pPr>
      <w:r>
        <w:separator/>
      </w:r>
    </w:p>
  </w:footnote>
  <w:footnote w:type="continuationSeparator" w:id="0">
    <w:p w14:paraId="66FD7CEB" w14:textId="77777777" w:rsidR="00470A35" w:rsidRDefault="00470A35"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942B7"/>
    <w:rsid w:val="000A207F"/>
    <w:rsid w:val="000C13D6"/>
    <w:rsid w:val="000C69DE"/>
    <w:rsid w:val="000F2B8C"/>
    <w:rsid w:val="001A13EC"/>
    <w:rsid w:val="001A2A5B"/>
    <w:rsid w:val="001B7466"/>
    <w:rsid w:val="00296BAA"/>
    <w:rsid w:val="00296FB9"/>
    <w:rsid w:val="002C636F"/>
    <w:rsid w:val="002E5A2A"/>
    <w:rsid w:val="00315494"/>
    <w:rsid w:val="00363243"/>
    <w:rsid w:val="003752CD"/>
    <w:rsid w:val="00387AA1"/>
    <w:rsid w:val="003A199B"/>
    <w:rsid w:val="00410447"/>
    <w:rsid w:val="0045289E"/>
    <w:rsid w:val="004649D9"/>
    <w:rsid w:val="00470A35"/>
    <w:rsid w:val="00474643"/>
    <w:rsid w:val="00481B03"/>
    <w:rsid w:val="004B39D4"/>
    <w:rsid w:val="004C55A4"/>
    <w:rsid w:val="004E3A26"/>
    <w:rsid w:val="00501AD4"/>
    <w:rsid w:val="00570A06"/>
    <w:rsid w:val="00580829"/>
    <w:rsid w:val="005A2DBD"/>
    <w:rsid w:val="005B4C1E"/>
    <w:rsid w:val="005E769B"/>
    <w:rsid w:val="006A0826"/>
    <w:rsid w:val="006A13D0"/>
    <w:rsid w:val="007042E2"/>
    <w:rsid w:val="00722A68"/>
    <w:rsid w:val="007342AF"/>
    <w:rsid w:val="007D122D"/>
    <w:rsid w:val="007E2836"/>
    <w:rsid w:val="00844D32"/>
    <w:rsid w:val="00872291"/>
    <w:rsid w:val="00940266"/>
    <w:rsid w:val="009B1F1C"/>
    <w:rsid w:val="009B2E46"/>
    <w:rsid w:val="009C0C4C"/>
    <w:rsid w:val="009D5A0F"/>
    <w:rsid w:val="009D7A33"/>
    <w:rsid w:val="009F653A"/>
    <w:rsid w:val="00A14105"/>
    <w:rsid w:val="00A176F1"/>
    <w:rsid w:val="00A21DFA"/>
    <w:rsid w:val="00A62D72"/>
    <w:rsid w:val="00B16374"/>
    <w:rsid w:val="00B257AA"/>
    <w:rsid w:val="00B30C3D"/>
    <w:rsid w:val="00B443C8"/>
    <w:rsid w:val="00B501FB"/>
    <w:rsid w:val="00D03D7B"/>
    <w:rsid w:val="00D5027B"/>
    <w:rsid w:val="00D601DF"/>
    <w:rsid w:val="00D60680"/>
    <w:rsid w:val="00D80DFD"/>
    <w:rsid w:val="00D9128E"/>
    <w:rsid w:val="00DA7C2F"/>
    <w:rsid w:val="00E07C9D"/>
    <w:rsid w:val="00E12E63"/>
    <w:rsid w:val="00E26932"/>
    <w:rsid w:val="00E82F65"/>
    <w:rsid w:val="00EB2FDB"/>
    <w:rsid w:val="00EC1161"/>
    <w:rsid w:val="00EC60AE"/>
    <w:rsid w:val="00F4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0C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50CE1-E06A-4B4D-98A4-7621EA73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7</cp:revision>
  <cp:lastPrinted>2012-11-14T22:49:00Z</cp:lastPrinted>
  <dcterms:created xsi:type="dcterms:W3CDTF">2019-06-10T17:29:00Z</dcterms:created>
  <dcterms:modified xsi:type="dcterms:W3CDTF">2019-06-26T14:05:00Z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